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8A" w:rsidRPr="00D6678A" w:rsidRDefault="00D6678A" w:rsidP="00D6678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0C1A"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  <w:t>“Towards Effective Screening and Management of Climate and Disaster Risks”</w:t>
      </w:r>
    </w:p>
    <w:p w:rsidR="00D6678A" w:rsidRPr="00D6678A" w:rsidRDefault="00D6678A" w:rsidP="00D6678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678A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Pr="00D6678A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nd</w:t>
      </w:r>
      <w:r w:rsidRPr="00D6678A">
        <w:rPr>
          <w:rFonts w:ascii="Calibri" w:eastAsia="Times New Roman" w:hAnsi="Calibri" w:cs="Times New Roman"/>
          <w:color w:val="000000"/>
          <w:sz w:val="24"/>
          <w:szCs w:val="24"/>
        </w:rPr>
        <w:t xml:space="preserve"> Workshop of Development Banks and Agencies</w:t>
      </w:r>
    </w:p>
    <w:p w:rsidR="00D6678A" w:rsidRPr="00D6678A" w:rsidRDefault="00D6678A" w:rsidP="00C005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678A">
        <w:rPr>
          <w:rFonts w:ascii="Calibri" w:eastAsia="Times New Roman" w:hAnsi="Calibri" w:cs="Times New Roman"/>
          <w:color w:val="000000"/>
          <w:sz w:val="24"/>
          <w:szCs w:val="24"/>
        </w:rPr>
        <w:t>November 20-21, 2014</w:t>
      </w:r>
      <w:r w:rsidR="00C00505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Pr="00D6678A">
        <w:rPr>
          <w:rFonts w:ascii="Calibri" w:eastAsia="Times New Roman" w:hAnsi="Calibri" w:cs="Times New Roman"/>
          <w:color w:val="000000"/>
          <w:sz w:val="24"/>
          <w:szCs w:val="24"/>
        </w:rPr>
        <w:t>World Bank Group</w:t>
      </w:r>
    </w:p>
    <w:p w:rsidR="00D6678A" w:rsidRPr="00D6678A" w:rsidRDefault="00D6678A" w:rsidP="00D667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 </w:t>
      </w:r>
    </w:p>
    <w:p w:rsidR="00D6678A" w:rsidRPr="00D6678A" w:rsidRDefault="00D6678A" w:rsidP="00D667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 </w:t>
      </w:r>
    </w:p>
    <w:p w:rsidR="00D6678A" w:rsidRPr="00CC5E60" w:rsidRDefault="00CC5E60" w:rsidP="00D6678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</w:rPr>
      </w:pPr>
      <w:r w:rsidRPr="00CC5E60">
        <w:rPr>
          <w:rStyle w:val="Heading1Char"/>
          <w:rFonts w:eastAsiaTheme="minorHAnsi"/>
        </w:rPr>
        <w:t>Introduction</w:t>
      </w:r>
      <w:r w:rsidR="00784829" w:rsidRPr="00CC5E60">
        <w:rPr>
          <w:rStyle w:val="FootnoteReference"/>
          <w:rFonts w:ascii="Calibri" w:eastAsia="Times New Roman" w:hAnsi="Calibri" w:cs="Times New Roman"/>
          <w:b/>
          <w:bCs/>
          <w:color w:val="000000"/>
          <w:sz w:val="24"/>
        </w:rPr>
        <w:footnoteReference w:id="1"/>
      </w:r>
    </w:p>
    <w:p w:rsidR="00465828" w:rsidRDefault="00D6678A" w:rsidP="00D667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The World Bank </w:t>
      </w:r>
      <w:r w:rsidR="00465828">
        <w:rPr>
          <w:rFonts w:ascii="Calibri" w:eastAsia="Times New Roman" w:hAnsi="Calibri" w:cs="Times New Roman"/>
          <w:color w:val="000000"/>
        </w:rPr>
        <w:t xml:space="preserve">Group has </w:t>
      </w:r>
      <w:r w:rsidRPr="00D6678A">
        <w:rPr>
          <w:rFonts w:ascii="Calibri" w:eastAsia="Times New Roman" w:hAnsi="Calibri" w:cs="Times New Roman"/>
          <w:color w:val="000000"/>
        </w:rPr>
        <w:t xml:space="preserve">brought together donors </w:t>
      </w:r>
      <w:r w:rsidR="00B17D14">
        <w:rPr>
          <w:rFonts w:ascii="Calibri" w:eastAsia="Times New Roman" w:hAnsi="Calibri" w:cs="Times New Roman"/>
          <w:color w:val="000000"/>
        </w:rPr>
        <w:t xml:space="preserve">(see table below) </w:t>
      </w:r>
      <w:r w:rsidRPr="00D6678A">
        <w:rPr>
          <w:rFonts w:ascii="Calibri" w:eastAsia="Times New Roman" w:hAnsi="Calibri" w:cs="Times New Roman"/>
          <w:color w:val="000000"/>
        </w:rPr>
        <w:t xml:space="preserve">from across the globe to discuss challenges, lessons learned, and opportunities to better screen and manage climate risks.  </w:t>
      </w:r>
    </w:p>
    <w:p w:rsidR="00465828" w:rsidRDefault="00465828" w:rsidP="00D667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4480"/>
        <w:gridCol w:w="5500"/>
      </w:tblGrid>
      <w:tr w:rsidR="009B659A" w:rsidRPr="009B659A" w:rsidTr="009B659A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Multi-lateral agencies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 agencies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Caribbean Development Bank (CDB)</w:t>
            </w:r>
          </w:p>
        </w:tc>
        <w:tc>
          <w:tcPr>
            <w:tcW w:w="5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German development agency (</w:t>
            </w:r>
            <w:proofErr w:type="spellStart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GiZ</w:t>
            </w:r>
            <w:proofErr w:type="spellEnd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 and development bank (</w:t>
            </w:r>
            <w:proofErr w:type="spellStart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KfW</w:t>
            </w:r>
            <w:proofErr w:type="spellEnd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African Development Bank (</w:t>
            </w:r>
            <w:proofErr w:type="spellStart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AfDB</w:t>
            </w:r>
            <w:proofErr w:type="spellEnd"/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Japanese International Cooperation Agency (JICA) 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Asian Development Bank’s (ADB)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Millennium Challenge Corporation(MCC) </w:t>
            </w:r>
          </w:p>
        </w:tc>
      </w:tr>
      <w:tr w:rsidR="009B659A" w:rsidRPr="009B659A" w:rsidTr="009B659A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European Bank for Reconstruction and Development (EBRD)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Nordic Development Fund (NDF)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European Investment Bank (EIB)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Swiss Agency for Development and Cooperation (SDC) 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Inter-American Development Bank’s (IDB)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U.K. Department for International Development (DFID)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World Bank Group (WBG)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U.S. Agency for International Development (USAID)</w:t>
            </w:r>
          </w:p>
        </w:tc>
      </w:tr>
      <w:tr w:rsidR="009B659A" w:rsidRPr="009B659A" w:rsidTr="009B659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BFBFBF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659A" w:rsidRPr="009B659A" w:rsidTr="009B659A">
        <w:trPr>
          <w:trHeight w:val="300"/>
        </w:trPr>
        <w:tc>
          <w:tcPr>
            <w:tcW w:w="998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59A" w:rsidRPr="009B659A" w:rsidRDefault="009B659A" w:rsidP="009B6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Organization for Economic Co-o</w:t>
            </w:r>
            <w:r w:rsidR="0026237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peration and Development (OECD), U.S. Department of the Treasury</w:t>
            </w:r>
          </w:p>
        </w:tc>
      </w:tr>
    </w:tbl>
    <w:p w:rsidR="00CC5E60" w:rsidRDefault="00CC5E60" w:rsidP="00CC5E60">
      <w:pPr>
        <w:pStyle w:val="Heading1"/>
      </w:pPr>
    </w:p>
    <w:p w:rsidR="00D6678A" w:rsidRPr="00C04FE4" w:rsidRDefault="00FD0C1A" w:rsidP="00C04FE4">
      <w:pPr>
        <w:pStyle w:val="Heading1"/>
      </w:pPr>
      <w:r>
        <w:t>Climate Screening</w:t>
      </w:r>
    </w:p>
    <w:p w:rsidR="00B512D7" w:rsidRDefault="00D6678A" w:rsidP="00B512D7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Most </w:t>
      </w:r>
      <w:r w:rsidR="00B512D7">
        <w:rPr>
          <w:rFonts w:ascii="Calibri" w:eastAsia="Times New Roman" w:hAnsi="Calibri" w:cs="Times New Roman"/>
          <w:color w:val="000000"/>
        </w:rPr>
        <w:t>donor institutions</w:t>
      </w:r>
      <w:r w:rsidR="00C04FE4">
        <w:rPr>
          <w:rFonts w:ascii="Calibri" w:eastAsia="Times New Roman" w:hAnsi="Calibri" w:cs="Times New Roman"/>
          <w:color w:val="000000"/>
        </w:rPr>
        <w:t>:</w:t>
      </w:r>
    </w:p>
    <w:p w:rsidR="00B512D7" w:rsidRDefault="00B512D7" w:rsidP="00B512D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B512D7">
        <w:rPr>
          <w:rFonts w:ascii="Calibri" w:eastAsia="Times New Roman" w:hAnsi="Calibri" w:cs="Times New Roman"/>
          <w:color w:val="000000"/>
        </w:rPr>
        <w:t>Are motivated to carry out screening becau</w:t>
      </w:r>
      <w:r w:rsidR="00CC5E60">
        <w:rPr>
          <w:rFonts w:ascii="Calibri" w:eastAsia="Times New Roman" w:hAnsi="Calibri" w:cs="Times New Roman"/>
          <w:color w:val="000000"/>
        </w:rPr>
        <w:t>se of high-level directives (USAID, MCC</w:t>
      </w:r>
      <w:r w:rsidRPr="00B512D7">
        <w:rPr>
          <w:rFonts w:ascii="Calibri" w:eastAsia="Times New Roman" w:hAnsi="Calibri" w:cs="Times New Roman"/>
          <w:color w:val="000000"/>
        </w:rPr>
        <w:t xml:space="preserve">, ADB, </w:t>
      </w:r>
      <w:proofErr w:type="spellStart"/>
      <w:r w:rsidRPr="00B512D7">
        <w:rPr>
          <w:rFonts w:ascii="Calibri" w:eastAsia="Times New Roman" w:hAnsi="Calibri" w:cs="Times New Roman"/>
          <w:color w:val="000000"/>
        </w:rPr>
        <w:t>AfDB</w:t>
      </w:r>
      <w:proofErr w:type="spellEnd"/>
      <w:r w:rsidRPr="00B512D7">
        <w:rPr>
          <w:rFonts w:ascii="Calibri" w:eastAsia="Times New Roman" w:hAnsi="Calibri" w:cs="Times New Roman"/>
          <w:color w:val="000000"/>
        </w:rPr>
        <w:t>, GIZ, IDB, WBG); managing reputational or financial risks (EBRD); mainstreaming; (EIB, SDC, JICA, USAID)</w:t>
      </w:r>
      <w:r>
        <w:rPr>
          <w:rFonts w:ascii="Calibri" w:eastAsia="Times New Roman" w:hAnsi="Calibri" w:cs="Times New Roman"/>
          <w:color w:val="000000"/>
        </w:rPr>
        <w:t>.</w:t>
      </w:r>
    </w:p>
    <w:p w:rsidR="00B512D7" w:rsidRDefault="00B512D7" w:rsidP="00B512D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Carry out c</w:t>
      </w:r>
      <w:r w:rsidR="00D6678A" w:rsidRPr="00B512D7">
        <w:rPr>
          <w:rFonts w:ascii="Calibri" w:eastAsia="Times New Roman" w:hAnsi="Calibri" w:cs="Times New Roman"/>
          <w:color w:val="000000"/>
        </w:rPr>
        <w:t>limate screening ea</w:t>
      </w:r>
      <w:r>
        <w:rPr>
          <w:rFonts w:ascii="Calibri" w:eastAsia="Times New Roman" w:hAnsi="Calibri" w:cs="Times New Roman"/>
          <w:color w:val="000000"/>
        </w:rPr>
        <w:t>rly stages of planning processes in o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</w:rPr>
        <w:t>rder to guide development before major decisions are made.  Some organizations</w:t>
      </w:r>
      <w:r w:rsidR="00D6678A" w:rsidRPr="00B512D7">
        <w:rPr>
          <w:rFonts w:ascii="Calibri" w:eastAsia="Times New Roman" w:hAnsi="Calibri" w:cs="Times New Roman"/>
          <w:color w:val="000000"/>
        </w:rPr>
        <w:t xml:space="preserve"> (</w:t>
      </w:r>
      <w:r>
        <w:rPr>
          <w:rFonts w:ascii="Calibri" w:eastAsia="Times New Roman" w:hAnsi="Calibri" w:cs="Times New Roman"/>
          <w:color w:val="000000"/>
        </w:rPr>
        <w:t>such as BMZ, SDC, JICA) screen at all stages</w:t>
      </w:r>
    </w:p>
    <w:p w:rsidR="00D6678A" w:rsidRPr="00B512D7" w:rsidRDefault="00D6678A" w:rsidP="00B512D7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B512D7">
        <w:rPr>
          <w:rFonts w:ascii="Calibri" w:eastAsia="Times New Roman" w:hAnsi="Calibri" w:cs="Times New Roman"/>
          <w:color w:val="000000"/>
        </w:rPr>
        <w:t xml:space="preserve">Incorporate climate screening as a part of an already existing mainstreamed process. For example, IDB and </w:t>
      </w:r>
      <w:proofErr w:type="spellStart"/>
      <w:r w:rsidRPr="00B512D7">
        <w:rPr>
          <w:rFonts w:ascii="Calibri" w:eastAsia="Times New Roman" w:hAnsi="Calibri" w:cs="Times New Roman"/>
          <w:color w:val="000000"/>
        </w:rPr>
        <w:t>AfDB</w:t>
      </w:r>
      <w:proofErr w:type="spellEnd"/>
      <w:r w:rsidRPr="00B512D7">
        <w:rPr>
          <w:rFonts w:ascii="Calibri" w:eastAsia="Times New Roman" w:hAnsi="Calibri" w:cs="Times New Roman"/>
          <w:color w:val="000000"/>
        </w:rPr>
        <w:t xml:space="preserve"> link climate screening to their safeguard procedures.</w:t>
      </w:r>
    </w:p>
    <w:p w:rsidR="00D6678A" w:rsidRPr="00D6678A" w:rsidRDefault="00D6678A" w:rsidP="00D6678A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 </w:t>
      </w:r>
    </w:p>
    <w:p w:rsidR="00D6678A" w:rsidRPr="00D6678A" w:rsidRDefault="00D6678A" w:rsidP="00D6678A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Scope of </w:t>
      </w:r>
      <w:r w:rsidR="00B512D7">
        <w:rPr>
          <w:rFonts w:ascii="Calibri" w:eastAsia="Times New Roman" w:hAnsi="Calibri" w:cs="Times New Roman"/>
          <w:color w:val="000000"/>
        </w:rPr>
        <w:t xml:space="preserve">current </w:t>
      </w:r>
      <w:r w:rsidRPr="00D6678A">
        <w:rPr>
          <w:rFonts w:ascii="Calibri" w:eastAsia="Times New Roman" w:hAnsi="Calibri" w:cs="Times New Roman"/>
          <w:color w:val="000000"/>
        </w:rPr>
        <w:t>screening process</w:t>
      </w:r>
      <w:r w:rsidR="00B512D7">
        <w:rPr>
          <w:rFonts w:ascii="Calibri" w:eastAsia="Times New Roman" w:hAnsi="Calibri" w:cs="Times New Roman"/>
          <w:color w:val="000000"/>
        </w:rPr>
        <w:t>es</w:t>
      </w:r>
      <w:r w:rsidRPr="00D6678A">
        <w:rPr>
          <w:rFonts w:ascii="Calibri" w:eastAsia="Times New Roman" w:hAnsi="Calibri" w:cs="Times New Roman"/>
          <w:color w:val="000000"/>
        </w:rPr>
        <w:t xml:space="preserve"> varies:  </w:t>
      </w:r>
    </w:p>
    <w:p w:rsidR="00D6678A" w:rsidRPr="00D6678A" w:rsidRDefault="00B512D7" w:rsidP="00D6678A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Most </w:t>
      </w:r>
      <w:r w:rsidR="00D6678A" w:rsidRPr="00D6678A">
        <w:rPr>
          <w:rFonts w:ascii="Calibri" w:eastAsia="Times New Roman" w:hAnsi="Calibri" w:cs="Times New Roman"/>
          <w:color w:val="000000"/>
        </w:rPr>
        <w:t xml:space="preserve">focus on projects (ADB, EBRD, </w:t>
      </w:r>
      <w:proofErr w:type="spellStart"/>
      <w:r w:rsidR="00D6678A" w:rsidRPr="00D6678A">
        <w:rPr>
          <w:rFonts w:ascii="Calibri" w:eastAsia="Times New Roman" w:hAnsi="Calibri" w:cs="Times New Roman"/>
          <w:color w:val="000000"/>
        </w:rPr>
        <w:t>AfDB</w:t>
      </w:r>
      <w:proofErr w:type="spellEnd"/>
      <w:r w:rsidR="00D6678A" w:rsidRPr="00D6678A">
        <w:rPr>
          <w:rFonts w:ascii="Calibri" w:eastAsia="Times New Roman" w:hAnsi="Calibri" w:cs="Times New Roman"/>
          <w:color w:val="000000"/>
        </w:rPr>
        <w:t>, AFD, WBG and JICA)</w:t>
      </w:r>
    </w:p>
    <w:p w:rsidR="00D6678A" w:rsidRPr="00D6678A" w:rsidRDefault="00B512D7" w:rsidP="00D6678A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Some also include </w:t>
      </w:r>
      <w:r w:rsidR="00D6678A" w:rsidRPr="00D6678A">
        <w:rPr>
          <w:rFonts w:ascii="Calibri" w:eastAsia="Times New Roman" w:hAnsi="Calibri" w:cs="Times New Roman"/>
          <w:color w:val="000000"/>
        </w:rPr>
        <w:t xml:space="preserve">national/strategic/programmatic </w:t>
      </w:r>
      <w:r>
        <w:rPr>
          <w:rFonts w:ascii="Calibri" w:eastAsia="Times New Roman" w:hAnsi="Calibri" w:cs="Times New Roman"/>
          <w:color w:val="000000"/>
        </w:rPr>
        <w:t xml:space="preserve">screening </w:t>
      </w:r>
      <w:r w:rsidR="00D6678A" w:rsidRPr="00D6678A">
        <w:rPr>
          <w:rFonts w:ascii="Calibri" w:eastAsia="Times New Roman" w:hAnsi="Calibri" w:cs="Times New Roman"/>
          <w:color w:val="000000"/>
        </w:rPr>
        <w:t>(USAID, DFID, WBG)</w:t>
      </w:r>
    </w:p>
    <w:p w:rsidR="00D6678A" w:rsidRPr="00D6678A" w:rsidRDefault="00D6678A" w:rsidP="00D6678A">
      <w:pPr>
        <w:spacing w:after="0" w:line="240" w:lineRule="auto"/>
        <w:ind w:left="540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 </w:t>
      </w:r>
    </w:p>
    <w:p w:rsidR="00D6678A" w:rsidRDefault="00D6678A" w:rsidP="00D6678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Integration of screening with other agendas:  climate &amp; disaster (WBG), with environment and social safeguards (IDA, </w:t>
      </w:r>
      <w:proofErr w:type="spellStart"/>
      <w:r w:rsidRPr="00D6678A">
        <w:rPr>
          <w:rFonts w:ascii="Calibri" w:eastAsia="Times New Roman" w:hAnsi="Calibri" w:cs="Times New Roman"/>
          <w:color w:val="000000"/>
        </w:rPr>
        <w:t>AfDB</w:t>
      </w:r>
      <w:proofErr w:type="spellEnd"/>
      <w:r w:rsidRPr="00D6678A">
        <w:rPr>
          <w:rFonts w:ascii="Calibri" w:eastAsia="Times New Roman" w:hAnsi="Calibri" w:cs="Times New Roman"/>
          <w:color w:val="000000"/>
        </w:rPr>
        <w:t>), ESIA (USAID, EBRD)</w:t>
      </w:r>
    </w:p>
    <w:p w:rsidR="00B512D7" w:rsidRPr="00D6678A" w:rsidRDefault="00B512D7" w:rsidP="00B512D7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</w:p>
    <w:p w:rsidR="00B512D7" w:rsidRPr="00B512D7" w:rsidRDefault="00D6678A" w:rsidP="00B512D7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Roll out process:  it is important to define clear guidelines, accountabilities and responsibilities, incentives for teams, training, help desk needs, and back stopping</w:t>
      </w:r>
      <w:r w:rsidR="00B512D7">
        <w:rPr>
          <w:rFonts w:ascii="Calibri" w:eastAsia="Times New Roman" w:hAnsi="Calibri" w:cs="Times New Roman"/>
          <w:color w:val="000000"/>
        </w:rPr>
        <w:br/>
      </w:r>
    </w:p>
    <w:p w:rsidR="00D6678A" w:rsidRPr="00D6678A" w:rsidRDefault="00D6678A" w:rsidP="00D6678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Modality of tool application:  varies (web based, guidance, </w:t>
      </w:r>
      <w:r w:rsidR="00C04FE4" w:rsidRPr="00D6678A">
        <w:rPr>
          <w:rFonts w:ascii="Calibri" w:eastAsia="Times New Roman" w:hAnsi="Calibri" w:cs="Times New Roman"/>
          <w:color w:val="000000"/>
        </w:rPr>
        <w:t>and scoring</w:t>
      </w:r>
      <w:r w:rsidRPr="00D6678A">
        <w:rPr>
          <w:rFonts w:ascii="Calibri" w:eastAsia="Times New Roman" w:hAnsi="Calibri" w:cs="Times New Roman"/>
          <w:color w:val="000000"/>
        </w:rPr>
        <w:t xml:space="preserve"> system) but similarity of logic</w:t>
      </w:r>
      <w:r w:rsidR="00C04FE4">
        <w:rPr>
          <w:rFonts w:ascii="Calibri" w:eastAsia="Times New Roman" w:hAnsi="Calibri" w:cs="Times New Roman"/>
          <w:color w:val="000000"/>
        </w:rPr>
        <w:t>.</w:t>
      </w:r>
      <w:r w:rsidR="00B512D7">
        <w:rPr>
          <w:rFonts w:ascii="Calibri" w:eastAsia="Times New Roman" w:hAnsi="Calibri" w:cs="Times New Roman"/>
          <w:color w:val="000000"/>
        </w:rPr>
        <w:br/>
      </w:r>
    </w:p>
    <w:p w:rsidR="00D6678A" w:rsidRPr="00D6678A" w:rsidRDefault="00D6678A" w:rsidP="00D6678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Time requirements</w:t>
      </w:r>
      <w:r w:rsidR="00B512D7">
        <w:rPr>
          <w:rFonts w:ascii="Calibri" w:eastAsia="Times New Roman" w:hAnsi="Calibri" w:cs="Times New Roman"/>
          <w:color w:val="000000"/>
        </w:rPr>
        <w:t xml:space="preserve"> to carry out screening.  T</w:t>
      </w:r>
      <w:r w:rsidRPr="00D6678A">
        <w:rPr>
          <w:rFonts w:ascii="Calibri" w:eastAsia="Times New Roman" w:hAnsi="Calibri" w:cs="Times New Roman"/>
          <w:color w:val="000000"/>
        </w:rPr>
        <w:t xml:space="preserve">ime constraints pose a serious challenge, and there is a need to balance between adequate levels of screening against over-burdening the process. The time taken to </w:t>
      </w:r>
      <w:r w:rsidRPr="00D6678A">
        <w:rPr>
          <w:rFonts w:ascii="Calibri" w:eastAsia="Times New Roman" w:hAnsi="Calibri" w:cs="Times New Roman"/>
          <w:color w:val="000000"/>
        </w:rPr>
        <w:lastRenderedPageBreak/>
        <w:t xml:space="preserve">apply a tool varies widely across organizations, ranging from a few minutes to several days, depending on the depth of assessment. For instance, GIZ’s screening </w:t>
      </w:r>
      <w:r w:rsidR="00B512D7">
        <w:rPr>
          <w:rFonts w:ascii="Calibri" w:eastAsia="Times New Roman" w:hAnsi="Calibri" w:cs="Times New Roman"/>
          <w:color w:val="000000"/>
        </w:rPr>
        <w:t xml:space="preserve">tool takes about 20-60 minutes, </w:t>
      </w:r>
      <w:r w:rsidRPr="00D6678A">
        <w:rPr>
          <w:rFonts w:ascii="Calibri" w:eastAsia="Times New Roman" w:hAnsi="Calibri" w:cs="Times New Roman"/>
          <w:color w:val="000000"/>
        </w:rPr>
        <w:t>while its in-depth assessment could take up</w:t>
      </w:r>
      <w:r w:rsidR="004A2B3C">
        <w:rPr>
          <w:rFonts w:ascii="Calibri" w:eastAsia="Times New Roman" w:hAnsi="Calibri" w:cs="Times New Roman"/>
          <w:color w:val="000000"/>
        </w:rPr>
        <w:t xml:space="preserve"> to 5 days. WBG’s project tools take </w:t>
      </w:r>
      <w:r w:rsidRPr="00D6678A">
        <w:rPr>
          <w:rFonts w:ascii="Calibri" w:eastAsia="Times New Roman" w:hAnsi="Calibri" w:cs="Times New Roman"/>
          <w:color w:val="000000"/>
        </w:rPr>
        <w:t>2-3 hours to complete depending on the user’s familiarity with web-based tool use and background in climate change.</w:t>
      </w:r>
      <w:r w:rsidR="004A2B3C">
        <w:rPr>
          <w:rFonts w:ascii="Calibri" w:eastAsia="Times New Roman" w:hAnsi="Calibri" w:cs="Times New Roman"/>
          <w:color w:val="000000"/>
        </w:rPr>
        <w:t xml:space="preserve">  </w:t>
      </w:r>
      <w:r w:rsidR="00B512D7">
        <w:rPr>
          <w:rFonts w:ascii="Calibri" w:eastAsia="Times New Roman" w:hAnsi="Calibri" w:cs="Times New Roman"/>
          <w:color w:val="000000"/>
        </w:rPr>
        <w:br/>
      </w:r>
    </w:p>
    <w:p w:rsidR="00D6678A" w:rsidRPr="00D6678A" w:rsidRDefault="00D6678A" w:rsidP="00D6678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Climate data/information:  considerations about data usability, uncertainty, limitations, resolution or access to local data; proprietary vs open access data (how can we encourage collaboration?)</w:t>
      </w:r>
      <w:r w:rsidR="00B512D7">
        <w:rPr>
          <w:rFonts w:ascii="Calibri" w:eastAsia="Times New Roman" w:hAnsi="Calibri" w:cs="Times New Roman"/>
          <w:color w:val="000000"/>
        </w:rPr>
        <w:br/>
      </w:r>
    </w:p>
    <w:p w:rsidR="00D6678A" w:rsidRDefault="00D6678A" w:rsidP="00D6678A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Post screening: </w:t>
      </w:r>
      <w:r w:rsidR="00BB1AB0">
        <w:rPr>
          <w:rFonts w:ascii="Calibri" w:eastAsia="Times New Roman" w:hAnsi="Calibri" w:cs="Times New Roman"/>
          <w:color w:val="000000"/>
        </w:rPr>
        <w:t xml:space="preserve"> there is a need for</w:t>
      </w:r>
      <w:r w:rsidRPr="00D6678A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D6678A">
        <w:rPr>
          <w:rFonts w:ascii="Calibri" w:eastAsia="Times New Roman" w:hAnsi="Calibri" w:cs="Times New Roman"/>
          <w:color w:val="000000"/>
        </w:rPr>
        <w:t>sectoral</w:t>
      </w:r>
      <w:proofErr w:type="spellEnd"/>
      <w:r w:rsidRPr="00D6678A">
        <w:rPr>
          <w:rFonts w:ascii="Calibri" w:eastAsia="Times New Roman" w:hAnsi="Calibri" w:cs="Times New Roman"/>
          <w:color w:val="000000"/>
        </w:rPr>
        <w:t xml:space="preserve"> guidelines, </w:t>
      </w:r>
      <w:r w:rsidR="00BB1AB0">
        <w:rPr>
          <w:rFonts w:ascii="Calibri" w:eastAsia="Times New Roman" w:hAnsi="Calibri" w:cs="Times New Roman"/>
          <w:color w:val="000000"/>
        </w:rPr>
        <w:t xml:space="preserve">tools for </w:t>
      </w:r>
      <w:r w:rsidRPr="00D6678A">
        <w:rPr>
          <w:rFonts w:ascii="Calibri" w:eastAsia="Times New Roman" w:hAnsi="Calibri" w:cs="Times New Roman"/>
          <w:color w:val="000000"/>
        </w:rPr>
        <w:t>managing for risks</w:t>
      </w:r>
    </w:p>
    <w:p w:rsidR="00D6678A" w:rsidRPr="00D6678A" w:rsidRDefault="00D6678A" w:rsidP="00D6678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 </w:t>
      </w:r>
    </w:p>
    <w:p w:rsidR="00D6678A" w:rsidRPr="00D6678A" w:rsidRDefault="00D6678A" w:rsidP="00D6678A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D6678A">
        <w:rPr>
          <w:rFonts w:ascii="Calibri" w:eastAsia="Times New Roman" w:hAnsi="Calibri" w:cs="Times New Roman"/>
          <w:color w:val="000000"/>
          <w:u w:val="single"/>
        </w:rPr>
        <w:t xml:space="preserve">Success factors for </w:t>
      </w:r>
      <w:r w:rsidR="00FD0C1A">
        <w:rPr>
          <w:rFonts w:ascii="Calibri" w:eastAsia="Times New Roman" w:hAnsi="Calibri" w:cs="Times New Roman"/>
          <w:color w:val="000000"/>
          <w:u w:val="single"/>
        </w:rPr>
        <w:t xml:space="preserve">climate </w:t>
      </w:r>
      <w:r w:rsidRPr="00D6678A">
        <w:rPr>
          <w:rFonts w:ascii="Calibri" w:eastAsia="Times New Roman" w:hAnsi="Calibri" w:cs="Times New Roman"/>
          <w:color w:val="000000"/>
          <w:u w:val="single"/>
        </w:rPr>
        <w:t>screening</w:t>
      </w:r>
    </w:p>
    <w:p w:rsidR="00D6678A" w:rsidRDefault="00D6678A" w:rsidP="00D6678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Leadership matters.  Organizational mandates accelerate tool development and rollout (strong signals from management).  We are trying to achieve a behavioral change.</w:t>
      </w:r>
    </w:p>
    <w:p w:rsidR="00B512D7" w:rsidRPr="00D6678A" w:rsidRDefault="00B512D7" w:rsidP="00B512D7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</w:p>
    <w:p w:rsidR="00D6678A" w:rsidRPr="00D6678A" w:rsidRDefault="00D6678A" w:rsidP="00D6678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Changing attitude is as important as the tool itself</w:t>
      </w:r>
    </w:p>
    <w:p w:rsidR="00D6678A" w:rsidRPr="00D6678A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Process of applying the screening increases the acceptance of climate risk and internalization of the learning process</w:t>
      </w:r>
    </w:p>
    <w:p w:rsidR="00D6678A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Incentives and obligations are both necessary to motivate users of screening tools.</w:t>
      </w:r>
    </w:p>
    <w:p w:rsidR="00127FBD" w:rsidRPr="00D6678A" w:rsidRDefault="00127FBD" w:rsidP="00127FBD">
      <w:p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</w:p>
    <w:p w:rsidR="00D6678A" w:rsidRPr="00D6678A" w:rsidRDefault="00127FBD" w:rsidP="00D6678A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Success factors for applying a screening tool</w:t>
      </w:r>
    </w:p>
    <w:p w:rsidR="00D6678A" w:rsidRPr="00BB1AB0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BB1AB0">
        <w:rPr>
          <w:rFonts w:ascii="Calibri" w:eastAsia="Times New Roman" w:hAnsi="Calibri" w:cs="Times New Roman"/>
          <w:b/>
          <w:color w:val="000000"/>
        </w:rPr>
        <w:t>Simplicity</w:t>
      </w:r>
      <w:r w:rsidRPr="00BB1AB0">
        <w:rPr>
          <w:rFonts w:ascii="Calibri" w:eastAsia="Times New Roman" w:hAnsi="Calibri" w:cs="Times New Roman"/>
          <w:color w:val="000000"/>
        </w:rPr>
        <w:t xml:space="preserve"> increases acceptance, use, and sustainability</w:t>
      </w:r>
    </w:p>
    <w:p w:rsidR="00D6678A" w:rsidRPr="00BB1AB0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BB1AB0">
        <w:rPr>
          <w:rFonts w:ascii="Calibri" w:eastAsia="Times New Roman" w:hAnsi="Calibri" w:cs="Times New Roman"/>
          <w:b/>
          <w:color w:val="000000"/>
        </w:rPr>
        <w:t>Link to existing policies and processes</w:t>
      </w:r>
    </w:p>
    <w:p w:rsidR="00D6678A" w:rsidRPr="00BB1AB0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BB1AB0">
        <w:rPr>
          <w:rFonts w:ascii="Calibri" w:eastAsia="Times New Roman" w:hAnsi="Calibri" w:cs="Times New Roman"/>
          <w:b/>
          <w:color w:val="000000"/>
        </w:rPr>
        <w:t xml:space="preserve">Have to have a system to support </w:t>
      </w:r>
      <w:r w:rsidR="00127FBD" w:rsidRPr="00BB1AB0">
        <w:rPr>
          <w:rFonts w:ascii="Calibri" w:eastAsia="Times New Roman" w:hAnsi="Calibri" w:cs="Times New Roman"/>
          <w:b/>
          <w:color w:val="000000"/>
        </w:rPr>
        <w:t>the tool</w:t>
      </w:r>
      <w:r w:rsidR="00127FBD" w:rsidRPr="00BB1AB0">
        <w:rPr>
          <w:rFonts w:ascii="Calibri" w:eastAsia="Times New Roman" w:hAnsi="Calibri" w:cs="Times New Roman"/>
          <w:color w:val="000000"/>
        </w:rPr>
        <w:t xml:space="preserve"> </w:t>
      </w:r>
      <w:r w:rsidRPr="00BB1AB0">
        <w:rPr>
          <w:rFonts w:ascii="Calibri" w:eastAsia="Times New Roman" w:hAnsi="Calibri" w:cs="Times New Roman"/>
          <w:color w:val="000000"/>
        </w:rPr>
        <w:t>through guidance, expert support, and /or trainings</w:t>
      </w:r>
    </w:p>
    <w:p w:rsidR="00D6678A" w:rsidRPr="00BB1AB0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BB1AB0">
        <w:rPr>
          <w:rFonts w:ascii="Calibri" w:eastAsia="Times New Roman" w:hAnsi="Calibri" w:cs="Times New Roman"/>
          <w:b/>
          <w:color w:val="000000"/>
        </w:rPr>
        <w:t>Expectations management</w:t>
      </w:r>
      <w:r w:rsidRPr="00BB1AB0">
        <w:rPr>
          <w:rFonts w:ascii="Calibri" w:eastAsia="Times New Roman" w:hAnsi="Calibri" w:cs="Times New Roman"/>
          <w:color w:val="000000"/>
        </w:rPr>
        <w:t>:  need to balance experts and users expectations</w:t>
      </w:r>
    </w:p>
    <w:p w:rsidR="00D6678A" w:rsidRDefault="00D6678A" w:rsidP="00D6678A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BB1AB0">
        <w:rPr>
          <w:rFonts w:ascii="Calibri" w:eastAsia="Times New Roman" w:hAnsi="Calibri" w:cs="Times New Roman"/>
          <w:b/>
          <w:color w:val="000000"/>
        </w:rPr>
        <w:t>Monitoring of tool applicatio</w:t>
      </w:r>
      <w:r w:rsidRPr="00B17D14">
        <w:rPr>
          <w:rFonts w:ascii="Calibri" w:eastAsia="Times New Roman" w:hAnsi="Calibri" w:cs="Times New Roman"/>
          <w:b/>
          <w:color w:val="000000"/>
        </w:rPr>
        <w:t>n</w:t>
      </w:r>
      <w:r w:rsidRPr="00D6678A">
        <w:rPr>
          <w:rFonts w:ascii="Calibri" w:eastAsia="Times New Roman" w:hAnsi="Calibri" w:cs="Times New Roman"/>
          <w:color w:val="000000"/>
        </w:rPr>
        <w:t xml:space="preserve"> is important to accurately measure and track success and areas for improvement.  Did the project improve as a</w:t>
      </w:r>
      <w:r w:rsidR="00BB1AB0">
        <w:rPr>
          <w:rFonts w:ascii="Calibri" w:eastAsia="Times New Roman" w:hAnsi="Calibri" w:cs="Times New Roman"/>
          <w:color w:val="000000"/>
        </w:rPr>
        <w:t xml:space="preserve"> result of our efforts?</w:t>
      </w:r>
    </w:p>
    <w:p w:rsidR="00CC5E60" w:rsidRDefault="00CC5E60" w:rsidP="00CC5E60">
      <w:pPr>
        <w:pStyle w:val="Heading1"/>
      </w:pPr>
    </w:p>
    <w:p w:rsidR="00FD0C1A" w:rsidRPr="00CC5E60" w:rsidRDefault="00FD0C1A" w:rsidP="00CC5E60">
      <w:pPr>
        <w:pStyle w:val="Heading1"/>
      </w:pPr>
      <w:r w:rsidRPr="00CC5E60">
        <w:t xml:space="preserve">Climate data and information </w:t>
      </w:r>
    </w:p>
    <w:p w:rsidR="00FD0C1A" w:rsidRDefault="00FD0C1A" w:rsidP="00FD0C1A">
      <w:p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color w:val="000000"/>
        </w:rPr>
      </w:pPr>
    </w:p>
    <w:p w:rsidR="00F10504" w:rsidRDefault="00FD0C1A" w:rsidP="00FD0C1A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 xml:space="preserve">GIZ </w:t>
      </w:r>
      <w:r>
        <w:rPr>
          <w:rFonts w:ascii="Calibri" w:eastAsia="Times New Roman" w:hAnsi="Calibri" w:cs="Times New Roman"/>
          <w:color w:val="000000"/>
        </w:rPr>
        <w:t xml:space="preserve">shared </w:t>
      </w:r>
      <w:r w:rsidRPr="00D6678A">
        <w:rPr>
          <w:rFonts w:ascii="Calibri" w:eastAsia="Times New Roman" w:hAnsi="Calibri" w:cs="Times New Roman"/>
          <w:color w:val="000000"/>
        </w:rPr>
        <w:t xml:space="preserve">results of a recent survey of donors on their climate adaptation systems.  </w:t>
      </w:r>
    </w:p>
    <w:p w:rsidR="00F10504" w:rsidRPr="00F10504" w:rsidRDefault="00F10504" w:rsidP="00F10504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color w:val="000000"/>
        </w:rPr>
      </w:pPr>
      <w:r w:rsidRPr="00784829">
        <w:rPr>
          <w:rFonts w:ascii="Calibri" w:hAnsi="Calibri"/>
          <w:color w:val="000000"/>
        </w:rPr>
        <w:t>Most important barriers (in order of priority)</w:t>
      </w:r>
      <w:r>
        <w:rPr>
          <w:rFonts w:ascii="Calibri" w:hAnsi="Calibri"/>
          <w:color w:val="000000"/>
        </w:rPr>
        <w:t xml:space="preserve"> to integrating climate resiliency into programs and investments</w:t>
      </w:r>
      <w:r w:rsidRPr="00784829">
        <w:rPr>
          <w:rFonts w:ascii="Calibri" w:hAnsi="Calibri"/>
          <w:color w:val="000000"/>
        </w:rPr>
        <w:t>:  climate information, time constraints, limited human resources/expertise</w:t>
      </w:r>
    </w:p>
    <w:p w:rsidR="00F10504" w:rsidRDefault="00F10504" w:rsidP="00F1050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Greatest potential for c</w:t>
      </w:r>
      <w:r w:rsidRPr="00D6678A">
        <w:rPr>
          <w:rFonts w:ascii="Calibri" w:hAnsi="Calibri"/>
          <w:color w:val="000000"/>
          <w:sz w:val="22"/>
          <w:szCs w:val="22"/>
        </w:rPr>
        <w:t>ollaboration</w:t>
      </w:r>
      <w:r>
        <w:rPr>
          <w:rFonts w:ascii="Calibri" w:hAnsi="Calibri"/>
          <w:color w:val="000000"/>
          <w:sz w:val="22"/>
          <w:szCs w:val="22"/>
        </w:rPr>
        <w:t>:  data / climate information and</w:t>
      </w:r>
      <w:r w:rsidRPr="00D6678A">
        <w:rPr>
          <w:rFonts w:ascii="Calibri" w:hAnsi="Calibri"/>
          <w:color w:val="000000"/>
          <w:sz w:val="22"/>
          <w:szCs w:val="22"/>
        </w:rPr>
        <w:t xml:space="preserve"> tools were the two most important</w:t>
      </w:r>
    </w:p>
    <w:p w:rsidR="00F10504" w:rsidRPr="00F10504" w:rsidRDefault="00F10504" w:rsidP="00F10504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F10504">
        <w:rPr>
          <w:rFonts w:ascii="Calibri" w:eastAsia="Times New Roman" w:hAnsi="Calibri" w:cs="Times New Roman"/>
          <w:color w:val="000000"/>
        </w:rPr>
        <w:t xml:space="preserve">Most important data sets identified by donors:  </w:t>
      </w:r>
      <w:r w:rsidRPr="00C04FE4">
        <w:rPr>
          <w:rFonts w:ascii="Calibri" w:eastAsia="Times New Roman" w:hAnsi="Calibri" w:cs="Times New Roman"/>
          <w:b/>
          <w:color w:val="000000"/>
        </w:rPr>
        <w:t>World Bank Climate Portal</w:t>
      </w:r>
      <w:r w:rsidRPr="00F10504">
        <w:rPr>
          <w:rFonts w:ascii="Calibri" w:eastAsia="Times New Roman" w:hAnsi="Calibri" w:cs="Times New Roman"/>
          <w:color w:val="000000"/>
        </w:rPr>
        <w:t xml:space="preserve"> (</w:t>
      </w:r>
      <w:hyperlink r:id="rId8" w:history="1">
        <w:r w:rsidRPr="00F10504">
          <w:rPr>
            <w:rStyle w:val="Hyperlink"/>
            <w:rFonts w:ascii="Calibri" w:eastAsia="Times New Roman" w:hAnsi="Calibri" w:cs="Times New Roman"/>
          </w:rPr>
          <w:t>http://sdwebx.worldbank.org/climateportal/</w:t>
        </w:r>
      </w:hyperlink>
      <w:r w:rsidRPr="00F10504">
        <w:rPr>
          <w:rFonts w:ascii="Calibri" w:eastAsia="Times New Roman" w:hAnsi="Calibri" w:cs="Times New Roman"/>
          <w:color w:val="000000"/>
        </w:rPr>
        <w:t>).  Some also use IPCC reports or KFW country sheets.</w:t>
      </w:r>
    </w:p>
    <w:p w:rsidR="00F10504" w:rsidRDefault="00F10504" w:rsidP="00FD0C1A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D6678A" w:rsidRDefault="00FD0C1A" w:rsidP="00F10504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D6678A">
        <w:rPr>
          <w:rFonts w:ascii="Calibri" w:eastAsia="Times New Roman" w:hAnsi="Calibri" w:cs="Times New Roman"/>
          <w:color w:val="000000"/>
        </w:rPr>
        <w:t>One theme that emerged is that there is a “fire hose” of information being churned out by climate scientists, but</w:t>
      </w:r>
      <w:r w:rsidR="00C04FE4">
        <w:rPr>
          <w:rFonts w:ascii="Calibri" w:eastAsia="Times New Roman" w:hAnsi="Calibri" w:cs="Times New Roman"/>
          <w:color w:val="000000"/>
        </w:rPr>
        <w:t xml:space="preserve"> unfortunately it is not always what donors</w:t>
      </w:r>
      <w:r w:rsidRPr="00D6678A">
        <w:rPr>
          <w:rFonts w:ascii="Calibri" w:eastAsia="Times New Roman" w:hAnsi="Calibri" w:cs="Times New Roman"/>
          <w:color w:val="000000"/>
        </w:rPr>
        <w:t xml:space="preserve"> (or project engineers) need to better adapt projects to climate change.  Participants emphasized </w:t>
      </w:r>
      <w:r w:rsidR="00C04FE4">
        <w:rPr>
          <w:rFonts w:ascii="Calibri" w:eastAsia="Times New Roman" w:hAnsi="Calibri" w:cs="Times New Roman"/>
          <w:color w:val="000000"/>
        </w:rPr>
        <w:t xml:space="preserve">the need for usable information, </w:t>
      </w:r>
      <w:r w:rsidRPr="00D6678A">
        <w:rPr>
          <w:rFonts w:ascii="Calibri" w:eastAsia="Times New Roman" w:hAnsi="Calibri" w:cs="Times New Roman"/>
          <w:color w:val="000000"/>
        </w:rPr>
        <w:t>derived from the IPCC data</w:t>
      </w:r>
      <w:r w:rsidR="00C04FE4">
        <w:rPr>
          <w:rFonts w:ascii="Calibri" w:eastAsia="Times New Roman" w:hAnsi="Calibri" w:cs="Times New Roman"/>
          <w:color w:val="000000"/>
        </w:rPr>
        <w:t>, to inform development decision-making</w:t>
      </w:r>
      <w:r w:rsidRPr="00D6678A">
        <w:rPr>
          <w:rFonts w:ascii="Calibri" w:eastAsia="Times New Roman" w:hAnsi="Calibri" w:cs="Times New Roman"/>
          <w:color w:val="000000"/>
        </w:rPr>
        <w:t xml:space="preserve"> (e.g. storm surge on top of sea level rise, river flooding, groundwater availability</w:t>
      </w:r>
      <w:r>
        <w:rPr>
          <w:rFonts w:ascii="Calibri" w:eastAsia="Times New Roman" w:hAnsi="Calibri" w:cs="Times New Roman"/>
          <w:color w:val="000000"/>
        </w:rPr>
        <w:t>, seasonal timing and intensity of rainfall, groundwater availability</w:t>
      </w:r>
      <w:r w:rsidRPr="00D6678A">
        <w:rPr>
          <w:rFonts w:ascii="Calibri" w:eastAsia="Times New Roman" w:hAnsi="Calibri" w:cs="Times New Roman"/>
          <w:color w:val="000000"/>
        </w:rPr>
        <w:t xml:space="preserve">).  </w:t>
      </w:r>
      <w:r w:rsidR="00C04FE4">
        <w:rPr>
          <w:rFonts w:ascii="Calibri" w:eastAsia="Times New Roman" w:hAnsi="Calibri" w:cs="Times New Roman"/>
          <w:color w:val="000000"/>
        </w:rPr>
        <w:t xml:space="preserve">This suggests </w:t>
      </w:r>
      <w:r>
        <w:rPr>
          <w:rFonts w:ascii="Calibri" w:eastAsia="Times New Roman" w:hAnsi="Calibri" w:cs="Times New Roman"/>
          <w:color w:val="000000"/>
        </w:rPr>
        <w:t xml:space="preserve">opportunities to link these needs </w:t>
      </w:r>
      <w:r w:rsidR="00B552A2">
        <w:rPr>
          <w:rFonts w:ascii="Calibri" w:eastAsia="Times New Roman" w:hAnsi="Calibri" w:cs="Times New Roman"/>
          <w:color w:val="000000"/>
        </w:rPr>
        <w:t>to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D6678A">
        <w:rPr>
          <w:rFonts w:ascii="Calibri" w:eastAsia="Times New Roman" w:hAnsi="Calibri" w:cs="Times New Roman"/>
          <w:color w:val="000000"/>
        </w:rPr>
        <w:t xml:space="preserve">(1) our own efforts to link USG development and sciences agencies </w:t>
      </w:r>
      <w:r>
        <w:rPr>
          <w:rFonts w:ascii="Calibri" w:eastAsia="Times New Roman" w:hAnsi="Calibri" w:cs="Times New Roman"/>
          <w:color w:val="000000"/>
        </w:rPr>
        <w:t xml:space="preserve">and programs </w:t>
      </w:r>
      <w:r w:rsidRPr="00D6678A">
        <w:rPr>
          <w:rFonts w:ascii="Calibri" w:eastAsia="Times New Roman" w:hAnsi="Calibri" w:cs="Times New Roman"/>
          <w:color w:val="000000"/>
        </w:rPr>
        <w:t xml:space="preserve">and (2) the Public-Private Partnership on Climate Data and Information for Resilient Development.  </w:t>
      </w:r>
      <w:r w:rsidR="00D6678A" w:rsidRPr="00D6678A">
        <w:rPr>
          <w:rFonts w:ascii="Calibri" w:eastAsia="Times New Roman" w:hAnsi="Calibri" w:cs="Times New Roman"/>
          <w:color w:val="000000"/>
        </w:rPr>
        <w:t> </w:t>
      </w:r>
    </w:p>
    <w:sectPr w:rsidR="00D6678A" w:rsidSect="00C6280B">
      <w:headerReference w:type="default" r:id="rId9"/>
      <w:footerReference w:type="default" r:id="rId10"/>
      <w:pgSz w:w="12240" w:h="15840"/>
      <w:pgMar w:top="1008" w:right="1152" w:bottom="129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8A" w:rsidRDefault="00D6678A" w:rsidP="00D6678A">
      <w:pPr>
        <w:spacing w:after="0" w:line="240" w:lineRule="auto"/>
      </w:pPr>
      <w:r>
        <w:separator/>
      </w:r>
    </w:p>
  </w:endnote>
  <w:endnote w:type="continuationSeparator" w:id="0">
    <w:p w:rsidR="00D6678A" w:rsidRDefault="00D6678A" w:rsidP="00D6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522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678A" w:rsidRDefault="00D667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3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678A" w:rsidRDefault="00D66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8A" w:rsidRDefault="00D6678A" w:rsidP="00D6678A">
      <w:pPr>
        <w:spacing w:after="0" w:line="240" w:lineRule="auto"/>
      </w:pPr>
      <w:r>
        <w:separator/>
      </w:r>
    </w:p>
  </w:footnote>
  <w:footnote w:type="continuationSeparator" w:id="0">
    <w:p w:rsidR="00D6678A" w:rsidRDefault="00D6678A" w:rsidP="00D6678A">
      <w:pPr>
        <w:spacing w:after="0" w:line="240" w:lineRule="auto"/>
      </w:pPr>
      <w:r>
        <w:continuationSeparator/>
      </w:r>
    </w:p>
  </w:footnote>
  <w:footnote w:id="1">
    <w:p w:rsidR="00784829" w:rsidRDefault="00784829">
      <w:pPr>
        <w:pStyle w:val="FootnoteText"/>
      </w:pPr>
      <w:r>
        <w:rPr>
          <w:rStyle w:val="FootnoteReference"/>
        </w:rPr>
        <w:footnoteRef/>
      </w:r>
      <w:r>
        <w:t xml:space="preserve"> This is an unofficial, high level summary </w:t>
      </w:r>
      <w:r w:rsidR="0067093C">
        <w:t>intended to capture key ideas.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14" w:rsidRPr="00B17D14" w:rsidRDefault="00B17D14" w:rsidP="00B17D14">
    <w:pPr>
      <w:pStyle w:val="Header"/>
      <w:jc w:val="right"/>
      <w:rPr>
        <w:i/>
        <w:sz w:val="20"/>
      </w:rPr>
    </w:pPr>
    <w:r w:rsidRPr="00B17D14">
      <w:rPr>
        <w:i/>
        <w:sz w:val="20"/>
      </w:rPr>
      <w:t>For internal use only</w:t>
    </w:r>
    <w:r w:rsidR="00F934B0">
      <w:rPr>
        <w:i/>
        <w:sz w:val="20"/>
      </w:rPr>
      <w:t>; do not circulate outside USG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836"/>
    <w:multiLevelType w:val="multilevel"/>
    <w:tmpl w:val="5AD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B3E89"/>
    <w:multiLevelType w:val="multilevel"/>
    <w:tmpl w:val="A782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66EAD"/>
    <w:multiLevelType w:val="multilevel"/>
    <w:tmpl w:val="698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D79C3"/>
    <w:multiLevelType w:val="multilevel"/>
    <w:tmpl w:val="038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66523"/>
    <w:multiLevelType w:val="hybridMultilevel"/>
    <w:tmpl w:val="9B465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53785"/>
    <w:multiLevelType w:val="multilevel"/>
    <w:tmpl w:val="6CF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03705"/>
    <w:multiLevelType w:val="multilevel"/>
    <w:tmpl w:val="E8A8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F15AEB"/>
    <w:multiLevelType w:val="hybridMultilevel"/>
    <w:tmpl w:val="77B2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92BB0"/>
    <w:multiLevelType w:val="multilevel"/>
    <w:tmpl w:val="773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61"/>
    <w:rsid w:val="00127FBD"/>
    <w:rsid w:val="0026237B"/>
    <w:rsid w:val="003D0042"/>
    <w:rsid w:val="00465828"/>
    <w:rsid w:val="004A2B3C"/>
    <w:rsid w:val="00643CEE"/>
    <w:rsid w:val="0067093C"/>
    <w:rsid w:val="00784829"/>
    <w:rsid w:val="007D6EE4"/>
    <w:rsid w:val="008563F3"/>
    <w:rsid w:val="00896A61"/>
    <w:rsid w:val="009B659A"/>
    <w:rsid w:val="00B17D14"/>
    <w:rsid w:val="00B512D7"/>
    <w:rsid w:val="00B552A2"/>
    <w:rsid w:val="00BB1AB0"/>
    <w:rsid w:val="00C00505"/>
    <w:rsid w:val="00C04FE4"/>
    <w:rsid w:val="00C6280B"/>
    <w:rsid w:val="00CC5E60"/>
    <w:rsid w:val="00D44505"/>
    <w:rsid w:val="00D6678A"/>
    <w:rsid w:val="00EF1B86"/>
    <w:rsid w:val="00F10504"/>
    <w:rsid w:val="00F934B0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4B6B50-EFD5-45E7-AD61-2D3441F4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E60"/>
    <w:pPr>
      <w:spacing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8A"/>
  </w:style>
  <w:style w:type="paragraph" w:styleId="Footer">
    <w:name w:val="footer"/>
    <w:basedOn w:val="Normal"/>
    <w:link w:val="FooterChar"/>
    <w:uiPriority w:val="99"/>
    <w:unhideWhenUsed/>
    <w:rsid w:val="00D6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8A"/>
  </w:style>
  <w:style w:type="paragraph" w:styleId="NormalWeb">
    <w:name w:val="Normal (Web)"/>
    <w:basedOn w:val="Normal"/>
    <w:uiPriority w:val="99"/>
    <w:semiHidden/>
    <w:unhideWhenUsed/>
    <w:rsid w:val="00D6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8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4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8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3C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5E60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webx.worldbank.org/climate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9C38-A87F-4F7E-988C-87D6CC3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Douglas J (DCO/IEPS-ESP)</dc:creator>
  <cp:keywords/>
  <dc:description/>
  <cp:lastModifiedBy>Mason, Douglas J (DCO/IEPS-ESP)</cp:lastModifiedBy>
  <cp:revision>18</cp:revision>
  <cp:lastPrinted>2015-01-12T22:05:00Z</cp:lastPrinted>
  <dcterms:created xsi:type="dcterms:W3CDTF">2014-12-11T20:20:00Z</dcterms:created>
  <dcterms:modified xsi:type="dcterms:W3CDTF">2015-01-20T18:05:00Z</dcterms:modified>
</cp:coreProperties>
</file>